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12" w:rsidRPr="00E65B12" w:rsidRDefault="00E65B12" w:rsidP="00E65B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5B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E890C8" wp14:editId="70070B0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12" w:rsidRPr="00E65B12" w:rsidRDefault="00E65B12" w:rsidP="00E65B12">
      <w:pPr>
        <w:keepNext/>
        <w:tabs>
          <w:tab w:val="left" w:pos="708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65B12" w:rsidRPr="00E65B12" w:rsidRDefault="00E65B12" w:rsidP="00E65B12">
      <w:pPr>
        <w:keepNext/>
        <w:tabs>
          <w:tab w:val="left" w:pos="708"/>
        </w:tabs>
        <w:suppressAutoHyphens/>
        <w:spacing w:after="0" w:line="240" w:lineRule="auto"/>
        <w:jc w:val="center"/>
        <w:outlineLvl w:val="2"/>
        <w:rPr>
          <w:rFonts w:eastAsia="Times New Roman" w:cs="Times New Roman"/>
          <w:bCs/>
          <w:sz w:val="32"/>
          <w:szCs w:val="32"/>
          <w:lang w:eastAsia="ar-SA"/>
        </w:rPr>
      </w:pPr>
      <w:r w:rsidRPr="00E65B12">
        <w:rPr>
          <w:rFonts w:eastAsia="Times New Roman" w:cs="Times New Roman"/>
          <w:bCs/>
          <w:sz w:val="32"/>
          <w:szCs w:val="32"/>
          <w:lang w:eastAsia="ar-SA"/>
        </w:rPr>
        <w:t>ДУМА ГОРОДА ЮГОРСКА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  <w:r w:rsidRPr="00E65B12">
        <w:rPr>
          <w:rFonts w:eastAsia="Times New Roman" w:cs="Times New Roman"/>
          <w:sz w:val="28"/>
          <w:szCs w:val="28"/>
          <w:lang w:eastAsia="ar-SA"/>
        </w:rPr>
        <w:t>Ханты-Мансийского автономного округа-Югры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E65B12" w:rsidRPr="00A117D5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36"/>
          <w:szCs w:val="36"/>
          <w:lang w:eastAsia="ar-SA"/>
        </w:rPr>
      </w:pPr>
      <w:r w:rsidRPr="00A117D5">
        <w:rPr>
          <w:rFonts w:eastAsia="Times New Roman" w:cs="Times New Roman"/>
          <w:sz w:val="36"/>
          <w:szCs w:val="36"/>
          <w:lang w:eastAsia="ar-SA"/>
        </w:rPr>
        <w:t>РЕШЕНИЕ</w:t>
      </w:r>
    </w:p>
    <w:p w:rsid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ar-SA"/>
        </w:rPr>
      </w:pPr>
    </w:p>
    <w:p w:rsidR="002E0397" w:rsidRPr="00E65B12" w:rsidRDefault="002E0397" w:rsidP="00E65B12">
      <w:pPr>
        <w:suppressAutoHyphens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ar-SA"/>
        </w:rPr>
      </w:pPr>
    </w:p>
    <w:p w:rsidR="00E65B12" w:rsidRPr="00A117D5" w:rsidRDefault="007722F0" w:rsidP="007722F0">
      <w:p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A117D5">
        <w:rPr>
          <w:rFonts w:eastAsia="Times New Roman" w:cs="Times New Roman"/>
          <w:b/>
          <w:bCs/>
          <w:lang w:eastAsia="ar-SA"/>
        </w:rPr>
        <w:t xml:space="preserve">от </w:t>
      </w:r>
      <w:r w:rsidR="00A117D5">
        <w:rPr>
          <w:rFonts w:eastAsia="Times New Roman" w:cs="Times New Roman"/>
          <w:b/>
          <w:bCs/>
          <w:lang w:eastAsia="ar-SA"/>
        </w:rPr>
        <w:t xml:space="preserve">29 июня 2026 года </w:t>
      </w:r>
      <w:r w:rsidR="00A117D5">
        <w:rPr>
          <w:rFonts w:eastAsia="Times New Roman" w:cs="Times New Roman"/>
          <w:b/>
          <w:bCs/>
          <w:lang w:eastAsia="ar-SA"/>
        </w:rPr>
        <w:tab/>
      </w:r>
      <w:r w:rsidR="00A117D5">
        <w:rPr>
          <w:rFonts w:eastAsia="Times New Roman" w:cs="Times New Roman"/>
          <w:b/>
          <w:bCs/>
          <w:lang w:eastAsia="ar-SA"/>
        </w:rPr>
        <w:tab/>
      </w:r>
      <w:r w:rsidR="00A117D5">
        <w:rPr>
          <w:rFonts w:eastAsia="Times New Roman" w:cs="Times New Roman"/>
          <w:b/>
          <w:bCs/>
          <w:lang w:eastAsia="ar-SA"/>
        </w:rPr>
        <w:tab/>
      </w:r>
      <w:r w:rsidR="00A117D5">
        <w:rPr>
          <w:rFonts w:eastAsia="Times New Roman" w:cs="Times New Roman"/>
          <w:b/>
          <w:bCs/>
          <w:lang w:eastAsia="ar-SA"/>
        </w:rPr>
        <w:tab/>
      </w:r>
      <w:r w:rsidR="00A117D5">
        <w:rPr>
          <w:rFonts w:eastAsia="Times New Roman" w:cs="Times New Roman"/>
          <w:b/>
          <w:bCs/>
          <w:lang w:eastAsia="ar-SA"/>
        </w:rPr>
        <w:tab/>
      </w:r>
      <w:r w:rsidR="00A117D5">
        <w:rPr>
          <w:rFonts w:eastAsia="Times New Roman" w:cs="Times New Roman"/>
          <w:b/>
          <w:bCs/>
          <w:lang w:eastAsia="ar-SA"/>
        </w:rPr>
        <w:tab/>
      </w:r>
      <w:r w:rsidR="00A117D5">
        <w:rPr>
          <w:rFonts w:eastAsia="Times New Roman" w:cs="Times New Roman"/>
          <w:b/>
          <w:bCs/>
          <w:lang w:eastAsia="ar-SA"/>
        </w:rPr>
        <w:tab/>
      </w:r>
      <w:r w:rsidR="00A117D5">
        <w:rPr>
          <w:rFonts w:eastAsia="Times New Roman" w:cs="Times New Roman"/>
          <w:b/>
          <w:bCs/>
          <w:lang w:eastAsia="ar-SA"/>
        </w:rPr>
        <w:tab/>
      </w:r>
      <w:r w:rsidR="00A117D5">
        <w:rPr>
          <w:rFonts w:eastAsia="Times New Roman" w:cs="Times New Roman"/>
          <w:b/>
          <w:bCs/>
          <w:lang w:eastAsia="ar-SA"/>
        </w:rPr>
        <w:tab/>
      </w:r>
      <w:r w:rsidR="00A117D5">
        <w:rPr>
          <w:rFonts w:eastAsia="Times New Roman" w:cs="Times New Roman"/>
          <w:b/>
          <w:bCs/>
          <w:lang w:eastAsia="ar-SA"/>
        </w:rPr>
        <w:tab/>
        <w:t>№ 65</w:t>
      </w:r>
    </w:p>
    <w:p w:rsidR="00E65B12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</w:p>
    <w:p w:rsidR="00A117D5" w:rsidRPr="00A117D5" w:rsidRDefault="00A117D5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</w:p>
    <w:p w:rsidR="00EF10AE" w:rsidRPr="00A117D5" w:rsidRDefault="00EF10AE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A117D5">
        <w:rPr>
          <w:rFonts w:eastAsia="Lucida Sans Unicode" w:cs="Lucida Sans Unicode"/>
          <w:b/>
          <w:kern w:val="2"/>
        </w:rPr>
        <w:t xml:space="preserve">Об итогах отопительного сезона </w:t>
      </w:r>
    </w:p>
    <w:p w:rsidR="00EF10AE" w:rsidRPr="00A117D5" w:rsidRDefault="00EF10AE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A117D5">
        <w:rPr>
          <w:rFonts w:eastAsia="Lucida Sans Unicode" w:cs="Lucida Sans Unicode"/>
          <w:b/>
          <w:kern w:val="2"/>
        </w:rPr>
        <w:t xml:space="preserve">2025-2026 и о плане подготовки </w:t>
      </w:r>
    </w:p>
    <w:p w:rsidR="00EF10AE" w:rsidRPr="00A117D5" w:rsidRDefault="00EF10AE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A117D5">
        <w:rPr>
          <w:rFonts w:eastAsia="Lucida Sans Unicode" w:cs="Lucida Sans Unicode"/>
          <w:b/>
          <w:kern w:val="2"/>
        </w:rPr>
        <w:t xml:space="preserve">объектов </w:t>
      </w:r>
      <w:proofErr w:type="gramStart"/>
      <w:r w:rsidRPr="00A117D5">
        <w:rPr>
          <w:rFonts w:eastAsia="Lucida Sans Unicode" w:cs="Lucida Sans Unicode"/>
          <w:b/>
          <w:kern w:val="2"/>
        </w:rPr>
        <w:t>жилищно-коммунального</w:t>
      </w:r>
      <w:proofErr w:type="gramEnd"/>
    </w:p>
    <w:p w:rsidR="00EF10AE" w:rsidRPr="00A117D5" w:rsidRDefault="00EF10AE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A117D5">
        <w:rPr>
          <w:rFonts w:eastAsia="Lucida Sans Unicode" w:cs="Lucida Sans Unicode"/>
          <w:b/>
          <w:kern w:val="2"/>
        </w:rPr>
        <w:t xml:space="preserve"> хозяйства, объектов </w:t>
      </w:r>
      <w:proofErr w:type="gramStart"/>
      <w:r w:rsidRPr="00A117D5">
        <w:rPr>
          <w:rFonts w:eastAsia="Lucida Sans Unicode" w:cs="Lucida Sans Unicode"/>
          <w:b/>
          <w:kern w:val="2"/>
        </w:rPr>
        <w:t>социальной</w:t>
      </w:r>
      <w:proofErr w:type="gramEnd"/>
      <w:r w:rsidRPr="00A117D5">
        <w:rPr>
          <w:rFonts w:eastAsia="Lucida Sans Unicode" w:cs="Lucida Sans Unicode"/>
          <w:b/>
          <w:kern w:val="2"/>
        </w:rPr>
        <w:t xml:space="preserve"> </w:t>
      </w:r>
    </w:p>
    <w:p w:rsidR="00EF10AE" w:rsidRPr="00A117D5" w:rsidRDefault="00EF10AE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A117D5">
        <w:rPr>
          <w:rFonts w:eastAsia="Lucida Sans Unicode" w:cs="Lucida Sans Unicode"/>
          <w:b/>
          <w:kern w:val="2"/>
        </w:rPr>
        <w:t>сферы к эксплуатации в осенне-</w:t>
      </w:r>
    </w:p>
    <w:p w:rsidR="00530312" w:rsidRPr="00A117D5" w:rsidRDefault="00A62CC9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bCs/>
          <w:kern w:val="2"/>
        </w:rPr>
      </w:pPr>
      <w:r w:rsidRPr="00A117D5">
        <w:rPr>
          <w:rFonts w:eastAsia="Lucida Sans Unicode" w:cs="Lucida Sans Unicode"/>
          <w:b/>
          <w:kern w:val="2"/>
        </w:rPr>
        <w:t>зимний период 2026-2027 годов</w:t>
      </w:r>
    </w:p>
    <w:p w:rsidR="00E65B12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A117D5" w:rsidRPr="00A117D5" w:rsidRDefault="00A117D5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530312" w:rsidRPr="00A117D5" w:rsidRDefault="00E65B12" w:rsidP="00EF10AE">
      <w:pPr>
        <w:widowControl w:val="0"/>
        <w:suppressAutoHyphens/>
        <w:spacing w:after="0" w:line="240" w:lineRule="auto"/>
        <w:ind w:firstLine="709"/>
        <w:jc w:val="both"/>
        <w:rPr>
          <w:rFonts w:eastAsia="Lucida Sans Unicode" w:cs="Lucida Sans Unicode"/>
          <w:b/>
          <w:kern w:val="2"/>
        </w:rPr>
      </w:pPr>
      <w:r w:rsidRPr="00A117D5">
        <w:rPr>
          <w:rFonts w:eastAsia="Lucida Sans Unicode" w:cs="Lucida Sans Unicode"/>
          <w:kern w:val="2"/>
        </w:rPr>
        <w:t>Рассмотрев информацию администрации города Югорска</w:t>
      </w:r>
      <w:r w:rsidR="007722F0" w:rsidRPr="00A117D5">
        <w:rPr>
          <w:rFonts w:eastAsia="Lucida Sans Unicode" w:cs="Lucida Sans Unicode"/>
          <w:kern w:val="2"/>
        </w:rPr>
        <w:t xml:space="preserve"> </w:t>
      </w:r>
      <w:r w:rsidR="00EF10AE" w:rsidRPr="00A117D5">
        <w:rPr>
          <w:rFonts w:eastAsia="Lucida Sans Unicode" w:cs="Lucida Sans Unicode"/>
          <w:kern w:val="2"/>
        </w:rPr>
        <w:t>об итогах отопительного сезона 2025-2026 и о плане подготовки объектов жилищно-коммунального хозяйства, объектов социальной сферы к эксплуатации в осенн</w:t>
      </w:r>
      <w:r w:rsidR="0017497F" w:rsidRPr="00A117D5">
        <w:rPr>
          <w:rFonts w:eastAsia="Lucida Sans Unicode" w:cs="Lucida Sans Unicode"/>
          <w:kern w:val="2"/>
        </w:rPr>
        <w:t>е-зимний период 2026-2027 годов,</w:t>
      </w:r>
    </w:p>
    <w:p w:rsidR="00E65B12" w:rsidRPr="00A117D5" w:rsidRDefault="00E65B12" w:rsidP="005303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E65B12" w:rsidRPr="00A117D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  <w:r w:rsidRPr="00A117D5">
        <w:rPr>
          <w:rFonts w:eastAsia="Times New Roman" w:cs="Times New Roman"/>
          <w:b/>
          <w:bCs/>
          <w:lang w:eastAsia="ar-SA"/>
        </w:rPr>
        <w:t>ДУМА ГОРОДА ЮГОРСКА РЕШИЛА:</w:t>
      </w:r>
    </w:p>
    <w:p w:rsidR="00E65B12" w:rsidRPr="00A117D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A117D5" w:rsidRDefault="00E65B12" w:rsidP="0017497F">
      <w:pPr>
        <w:widowControl w:val="0"/>
        <w:suppressAutoHyphens/>
        <w:spacing w:after="0" w:line="240" w:lineRule="auto"/>
        <w:ind w:firstLine="709"/>
        <w:jc w:val="both"/>
        <w:rPr>
          <w:rFonts w:eastAsia="Lucida Sans Unicode" w:cs="Lucida Sans Unicode"/>
          <w:kern w:val="2"/>
        </w:rPr>
      </w:pPr>
      <w:r w:rsidRPr="00A117D5">
        <w:rPr>
          <w:rFonts w:eastAsia="Lucida Sans Unicode" w:cs="Lucida Sans Unicode"/>
          <w:kern w:val="2"/>
        </w:rPr>
        <w:t>1. Принять к сведению информацию администрации города Югорска</w:t>
      </w:r>
      <w:r w:rsidR="007722F0" w:rsidRPr="00A117D5">
        <w:t xml:space="preserve"> </w:t>
      </w:r>
      <w:r w:rsidR="0017497F" w:rsidRPr="00A117D5">
        <w:rPr>
          <w:rFonts w:eastAsia="Lucida Sans Unicode" w:cs="Lucida Sans Unicode"/>
          <w:kern w:val="2"/>
        </w:rPr>
        <w:t>об итогах отопительного сезона 2025-2026 и о плане подготовки объектов жилищно-коммунального хозяйства, объектов социальной сферы к эксплуатации в осенне-зимний период 2026-2027 годов</w:t>
      </w:r>
      <w:r w:rsidR="00530312" w:rsidRPr="00A117D5">
        <w:rPr>
          <w:rFonts w:eastAsia="Lucida Sans Unicode" w:cs="Lucida Sans Unicode"/>
          <w:kern w:val="2"/>
        </w:rPr>
        <w:t xml:space="preserve"> (приложение).</w:t>
      </w:r>
    </w:p>
    <w:p w:rsidR="00E65B12" w:rsidRPr="00A117D5" w:rsidRDefault="00E65B12" w:rsidP="0017497F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A117D5">
        <w:rPr>
          <w:rFonts w:eastAsia="Times New Roman" w:cs="Times New Roman"/>
          <w:lang w:eastAsia="ar-SA"/>
        </w:rPr>
        <w:t>2. Настоящее решение вступает в силу после его подписания.</w:t>
      </w:r>
    </w:p>
    <w:p w:rsidR="002E0397" w:rsidRDefault="002E0397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A117D5" w:rsidRDefault="00A117D5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A117D5" w:rsidRDefault="00A117D5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A117D5" w:rsidRPr="00A117D5" w:rsidRDefault="00A117D5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7722F0" w:rsidRPr="00A117D5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  <w:r w:rsidRPr="00A117D5">
        <w:rPr>
          <w:rFonts w:eastAsia="Times New Roman" w:cs="Times New Roman"/>
          <w:b/>
          <w:lang w:eastAsia="ru-RU"/>
        </w:rPr>
        <w:t xml:space="preserve">Председатель Думы города Югорска            </w:t>
      </w:r>
      <w:r w:rsidR="00A117D5">
        <w:rPr>
          <w:rFonts w:eastAsia="Times New Roman" w:cs="Times New Roman"/>
          <w:b/>
          <w:lang w:eastAsia="ru-RU"/>
        </w:rPr>
        <w:t xml:space="preserve">          </w:t>
      </w:r>
      <w:r w:rsidRPr="00A117D5">
        <w:rPr>
          <w:rFonts w:eastAsia="Times New Roman" w:cs="Times New Roman"/>
          <w:b/>
          <w:lang w:eastAsia="ru-RU"/>
        </w:rPr>
        <w:t xml:space="preserve">                         Е.Б. Комисаренко</w:t>
      </w:r>
    </w:p>
    <w:p w:rsidR="007722F0" w:rsidRPr="00A117D5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Pr="00A117D5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Default="007722F0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A117D5" w:rsidRDefault="00A117D5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A117D5" w:rsidRDefault="00A117D5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A117D5" w:rsidRDefault="00A117D5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A117D5" w:rsidRDefault="00A117D5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A117D5" w:rsidRDefault="00A117D5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A117D5" w:rsidRPr="00A117D5" w:rsidRDefault="00A117D5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7722F0" w:rsidRPr="00A117D5" w:rsidRDefault="007722F0" w:rsidP="00530312">
      <w:pPr>
        <w:spacing w:after="0" w:line="240" w:lineRule="auto"/>
        <w:outlineLvl w:val="0"/>
        <w:rPr>
          <w:rFonts w:eastAsia="Times New Roman" w:cs="Arial"/>
          <w:b/>
          <w:bCs/>
          <w:kern w:val="28"/>
          <w:lang w:eastAsia="ru-RU"/>
        </w:rPr>
      </w:pPr>
    </w:p>
    <w:p w:rsidR="007722F0" w:rsidRPr="00A117D5" w:rsidRDefault="007722F0" w:rsidP="007722F0">
      <w:pPr>
        <w:tabs>
          <w:tab w:val="left" w:pos="936"/>
        </w:tabs>
        <w:spacing w:after="0" w:line="240" w:lineRule="auto"/>
        <w:jc w:val="both"/>
        <w:rPr>
          <w:rFonts w:eastAsia="Times New Roman" w:cs="Times New Roman"/>
          <w:b/>
          <w:bCs/>
          <w:u w:val="single"/>
          <w:lang w:eastAsia="ru-RU"/>
        </w:rPr>
      </w:pPr>
      <w:r w:rsidRPr="00A117D5">
        <w:rPr>
          <w:rFonts w:eastAsia="Times New Roman" w:cs="Times New Roman"/>
          <w:b/>
          <w:bCs/>
          <w:u w:val="single"/>
          <w:lang w:eastAsia="ru-RU"/>
        </w:rPr>
        <w:t>«</w:t>
      </w:r>
      <w:r w:rsidR="00A117D5">
        <w:rPr>
          <w:rFonts w:eastAsia="Times New Roman" w:cs="Times New Roman"/>
          <w:b/>
          <w:bCs/>
          <w:u w:val="single"/>
          <w:lang w:eastAsia="ru-RU"/>
        </w:rPr>
        <w:t>29</w:t>
      </w:r>
      <w:r w:rsidRPr="00A117D5">
        <w:rPr>
          <w:rFonts w:eastAsia="Times New Roman" w:cs="Times New Roman"/>
          <w:b/>
          <w:bCs/>
          <w:u w:val="single"/>
          <w:lang w:eastAsia="ru-RU"/>
        </w:rPr>
        <w:t xml:space="preserve">» </w:t>
      </w:r>
      <w:r w:rsidR="00C55BEF">
        <w:rPr>
          <w:rFonts w:eastAsia="Times New Roman" w:cs="Times New Roman"/>
          <w:b/>
          <w:bCs/>
          <w:u w:val="single"/>
          <w:lang w:eastAsia="ru-RU"/>
        </w:rPr>
        <w:t>июня</w:t>
      </w:r>
      <w:bookmarkStart w:id="0" w:name="_GoBack"/>
      <w:bookmarkEnd w:id="0"/>
      <w:r w:rsidRPr="00A117D5">
        <w:rPr>
          <w:rFonts w:eastAsia="Times New Roman" w:cs="Times New Roman"/>
          <w:b/>
          <w:bCs/>
          <w:u w:val="single"/>
          <w:lang w:eastAsia="ru-RU"/>
        </w:rPr>
        <w:t xml:space="preserve"> 202</w:t>
      </w:r>
      <w:r w:rsidR="0017497F" w:rsidRPr="00A117D5">
        <w:rPr>
          <w:rFonts w:eastAsia="Times New Roman" w:cs="Times New Roman"/>
          <w:b/>
          <w:bCs/>
          <w:u w:val="single"/>
          <w:lang w:eastAsia="ru-RU"/>
        </w:rPr>
        <w:t>6</w:t>
      </w:r>
      <w:r w:rsidRPr="00A117D5">
        <w:rPr>
          <w:rFonts w:eastAsia="Times New Roman" w:cs="Times New Roman"/>
          <w:b/>
          <w:bCs/>
          <w:u w:val="single"/>
          <w:lang w:eastAsia="ru-RU"/>
        </w:rPr>
        <w:t xml:space="preserve"> года</w:t>
      </w:r>
    </w:p>
    <w:p w:rsidR="00A61DA7" w:rsidRPr="00A117D5" w:rsidRDefault="007722F0" w:rsidP="00A117D5">
      <w:pPr>
        <w:tabs>
          <w:tab w:val="left" w:pos="936"/>
        </w:tabs>
        <w:spacing w:after="0" w:line="240" w:lineRule="auto"/>
        <w:jc w:val="both"/>
        <w:rPr>
          <w:rFonts w:eastAsia="Times New Roman" w:cs="Times New Roman"/>
          <w:bCs/>
          <w:lang w:eastAsia="ar-SA"/>
        </w:rPr>
      </w:pPr>
      <w:r w:rsidRPr="00A117D5">
        <w:rPr>
          <w:rFonts w:eastAsia="Times New Roman" w:cs="Times New Roman"/>
          <w:b/>
          <w:bCs/>
          <w:lang w:eastAsia="ru-RU"/>
        </w:rPr>
        <w:t>(дата подписания)</w:t>
      </w:r>
      <w:r w:rsidRPr="00A117D5">
        <w:rPr>
          <w:rFonts w:eastAsia="Times New Roman" w:cs="Times New Roman"/>
          <w:b/>
          <w:lang w:eastAsia="ru-RU"/>
        </w:rPr>
        <w:t xml:space="preserve">  </w:t>
      </w:r>
      <w:r w:rsidR="00A61DA7" w:rsidRPr="00A117D5">
        <w:rPr>
          <w:rFonts w:eastAsia="Times New Roman" w:cs="Times New Roman"/>
          <w:bCs/>
          <w:lang w:eastAsia="ar-SA"/>
        </w:rPr>
        <w:br w:type="page"/>
      </w:r>
    </w:p>
    <w:p w:rsidR="00E65B12" w:rsidRPr="00A117D5" w:rsidRDefault="00E65B12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A117D5">
        <w:rPr>
          <w:rFonts w:eastAsia="Times New Roman" w:cs="Times New Roman"/>
          <w:b/>
          <w:bCs/>
          <w:lang w:eastAsia="ar-SA"/>
        </w:rPr>
        <w:lastRenderedPageBreak/>
        <w:t xml:space="preserve">Приложение </w:t>
      </w:r>
    </w:p>
    <w:p w:rsidR="00E65B12" w:rsidRPr="00A117D5" w:rsidRDefault="00E65B12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A117D5">
        <w:rPr>
          <w:rFonts w:eastAsia="Times New Roman" w:cs="Times New Roman"/>
          <w:b/>
          <w:bCs/>
          <w:lang w:eastAsia="ar-SA"/>
        </w:rPr>
        <w:t>к решению Думы города Югорска</w:t>
      </w:r>
    </w:p>
    <w:p w:rsidR="00E65B12" w:rsidRPr="00A117D5" w:rsidRDefault="00E65B12" w:rsidP="00E65B1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A117D5">
        <w:rPr>
          <w:rFonts w:eastAsia="Times New Roman" w:cs="Times New Roman"/>
          <w:b/>
          <w:bCs/>
          <w:lang w:eastAsia="ar-SA"/>
        </w:rPr>
        <w:t xml:space="preserve">от </w:t>
      </w:r>
      <w:r w:rsidR="00C55BEF">
        <w:rPr>
          <w:rFonts w:eastAsia="Times New Roman" w:cs="Times New Roman"/>
          <w:b/>
          <w:bCs/>
          <w:lang w:eastAsia="ar-SA"/>
        </w:rPr>
        <w:t>29 июня 2026 года № 65</w:t>
      </w:r>
    </w:p>
    <w:p w:rsidR="00E65B12" w:rsidRPr="00A117D5" w:rsidRDefault="00E65B12" w:rsidP="00E65B1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9D22CF" w:rsidRPr="00A117D5" w:rsidRDefault="009D22CF" w:rsidP="001A7053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lang w:eastAsia="ar-SA"/>
        </w:rPr>
      </w:pPr>
      <w:r w:rsidRPr="00A117D5">
        <w:rPr>
          <w:rFonts w:eastAsia="Times New Roman" w:cs="Times New Roman"/>
          <w:b/>
          <w:bCs/>
          <w:lang w:eastAsia="ar-SA"/>
        </w:rPr>
        <w:t>Информация</w:t>
      </w:r>
    </w:p>
    <w:p w:rsidR="001A7053" w:rsidRPr="00A117D5" w:rsidRDefault="001A7053" w:rsidP="001A7053">
      <w:pPr>
        <w:pStyle w:val="Default"/>
        <w:tabs>
          <w:tab w:val="left" w:pos="1134"/>
        </w:tabs>
        <w:ind w:firstLine="709"/>
        <w:jc w:val="center"/>
        <w:rPr>
          <w:rFonts w:eastAsia="Lucida Sans Unicode" w:cs="Lucida Sans Unicode"/>
          <w:b/>
          <w:color w:val="auto"/>
          <w:kern w:val="2"/>
          <w:sz w:val="26"/>
          <w:szCs w:val="26"/>
          <w:lang w:eastAsia="en-US"/>
        </w:rPr>
      </w:pPr>
      <w:r w:rsidRPr="00A117D5">
        <w:rPr>
          <w:rFonts w:eastAsia="Lucida Sans Unicode" w:cs="Lucida Sans Unicode"/>
          <w:b/>
          <w:color w:val="auto"/>
          <w:kern w:val="2"/>
          <w:sz w:val="26"/>
          <w:szCs w:val="26"/>
          <w:lang w:eastAsia="en-US"/>
        </w:rPr>
        <w:t>об итогах отопительного сезона 2025-2026 и о плане подготовки объектов жилищно-коммунального хозяйства, объектов социальной сферы к эксплуатации в осенне-зимний период 2026-2027 годов</w:t>
      </w:r>
    </w:p>
    <w:p w:rsidR="00CA6392" w:rsidRPr="00A117D5" w:rsidRDefault="00CA6392" w:rsidP="001A7053">
      <w:pPr>
        <w:pStyle w:val="Default"/>
        <w:tabs>
          <w:tab w:val="left" w:pos="1134"/>
        </w:tabs>
        <w:ind w:firstLine="709"/>
        <w:jc w:val="center"/>
        <w:rPr>
          <w:rFonts w:eastAsia="Lucida Sans Unicode" w:cs="Lucida Sans Unicode"/>
          <w:b/>
          <w:color w:val="auto"/>
          <w:kern w:val="2"/>
          <w:sz w:val="26"/>
          <w:szCs w:val="26"/>
          <w:lang w:eastAsia="en-US"/>
        </w:rPr>
      </w:pPr>
    </w:p>
    <w:p w:rsidR="001A7053" w:rsidRPr="00A117D5" w:rsidRDefault="001A7053" w:rsidP="001A705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117D5">
        <w:rPr>
          <w:rFonts w:cs="Times New Roman"/>
          <w:sz w:val="26"/>
          <w:szCs w:val="26"/>
        </w:rPr>
        <w:t xml:space="preserve">Отопление потребителям тепловой энергии города Югорска подано с </w:t>
      </w:r>
      <w:r w:rsidR="00AA46F2" w:rsidRPr="00A117D5">
        <w:rPr>
          <w:rFonts w:cs="Times New Roman"/>
          <w:sz w:val="26"/>
          <w:szCs w:val="26"/>
        </w:rPr>
        <w:t>01.10.</w:t>
      </w:r>
      <w:r w:rsidRPr="00A117D5">
        <w:rPr>
          <w:rFonts w:cs="Times New Roman"/>
          <w:sz w:val="26"/>
          <w:szCs w:val="26"/>
        </w:rPr>
        <w:t>2025 года в соответствии с постановлением администрац</w:t>
      </w:r>
      <w:r w:rsidR="00AA46F2" w:rsidRPr="00A117D5">
        <w:rPr>
          <w:rFonts w:cs="Times New Roman"/>
          <w:sz w:val="26"/>
          <w:szCs w:val="26"/>
        </w:rPr>
        <w:t>ии города Югорска от 19.08.</w:t>
      </w:r>
      <w:r w:rsidRPr="00A117D5">
        <w:rPr>
          <w:rFonts w:cs="Times New Roman"/>
          <w:sz w:val="26"/>
          <w:szCs w:val="26"/>
        </w:rPr>
        <w:t xml:space="preserve">2025 года № 1593-13-п «О начале отопительного периода 2025–2026 годов». </w:t>
      </w:r>
    </w:p>
    <w:p w:rsidR="001A7053" w:rsidRPr="00A117D5" w:rsidRDefault="001A7053" w:rsidP="001A705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117D5">
        <w:rPr>
          <w:rFonts w:cs="Times New Roman"/>
          <w:sz w:val="26"/>
          <w:szCs w:val="26"/>
        </w:rPr>
        <w:t xml:space="preserve">На протяжении всего отопительного периода 2025–2026 годов аварий на объектах теплоснабжения не зафиксировано, все котельные установки и основное оборудование работали стабильно, без сбоев. Система теплоснабжения города Югорска в отопительном периоде 2025–2026 годов </w:t>
      </w:r>
      <w:r w:rsidR="00327B94" w:rsidRPr="00A117D5">
        <w:rPr>
          <w:rFonts w:cs="Times New Roman"/>
          <w:sz w:val="26"/>
          <w:szCs w:val="26"/>
        </w:rPr>
        <w:t>работала без перебоев</w:t>
      </w:r>
      <w:r w:rsidRPr="00A117D5">
        <w:rPr>
          <w:rFonts w:cs="Times New Roman"/>
          <w:sz w:val="26"/>
          <w:szCs w:val="26"/>
        </w:rPr>
        <w:t xml:space="preserve">. </w:t>
      </w:r>
    </w:p>
    <w:p w:rsidR="001A7053" w:rsidRPr="00A117D5" w:rsidRDefault="001A7053" w:rsidP="001A705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117D5">
        <w:rPr>
          <w:rFonts w:cs="Times New Roman"/>
          <w:sz w:val="26"/>
          <w:szCs w:val="26"/>
        </w:rPr>
        <w:t>Вместе с тем на особо ветхих участках инженерных сетей зарегистрировано 35 технологических инцидентов, при этом ни один из них не привёл к прекращению подачи ресурса потребителям на срок более четырёх часов. Муниципальное унитарное предприятие «Югорскэнергогаз» с задачей бесперебойного обеспечения населения коммунальными услугами справилось в полном объёме.</w:t>
      </w:r>
    </w:p>
    <w:p w:rsidR="001A7053" w:rsidRPr="00A117D5" w:rsidRDefault="001A7053" w:rsidP="001A705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117D5">
        <w:rPr>
          <w:rFonts w:cs="Times New Roman"/>
          <w:sz w:val="26"/>
          <w:szCs w:val="26"/>
        </w:rPr>
        <w:t>Департаментом жилищно-коммунального и строительного комплек</w:t>
      </w:r>
      <w:r w:rsidR="00327B94" w:rsidRPr="00A117D5">
        <w:rPr>
          <w:rFonts w:cs="Times New Roman"/>
          <w:sz w:val="26"/>
          <w:szCs w:val="26"/>
        </w:rPr>
        <w:t xml:space="preserve">са администрации города Югорска </w:t>
      </w:r>
      <w:r w:rsidRPr="00A117D5">
        <w:rPr>
          <w:rFonts w:cs="Times New Roman"/>
          <w:sz w:val="26"/>
          <w:szCs w:val="26"/>
        </w:rPr>
        <w:t>внесены изменения в план действий по ликвидации последствий аварийных ситуаций в сфере теплоснабжения, утверждённые постановлением администрации города Югорска от 12</w:t>
      </w:r>
      <w:r w:rsidR="00327B94" w:rsidRPr="00A117D5">
        <w:rPr>
          <w:rFonts w:cs="Times New Roman"/>
          <w:sz w:val="26"/>
          <w:szCs w:val="26"/>
        </w:rPr>
        <w:t>.02.</w:t>
      </w:r>
      <w:r w:rsidRPr="00A117D5">
        <w:rPr>
          <w:rFonts w:cs="Times New Roman"/>
          <w:sz w:val="26"/>
          <w:szCs w:val="26"/>
        </w:rPr>
        <w:t>2026 № 249-13-п. Указанные изменения касаются порядка действий с применением электронного моделирования аварийных ситуаций и механизма оперативно-диспетчерского управления в системе теплоснабжения города Югорска.</w:t>
      </w:r>
    </w:p>
    <w:p w:rsidR="001A7053" w:rsidRPr="00A117D5" w:rsidRDefault="001A7053" w:rsidP="001A705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117D5">
        <w:rPr>
          <w:rFonts w:cs="Times New Roman"/>
          <w:sz w:val="26"/>
          <w:szCs w:val="26"/>
        </w:rPr>
        <w:t>Завершение отопительного периода состоялось 25</w:t>
      </w:r>
      <w:r w:rsidR="00A03ACC" w:rsidRPr="00A117D5">
        <w:rPr>
          <w:rFonts w:cs="Times New Roman"/>
          <w:sz w:val="26"/>
          <w:szCs w:val="26"/>
        </w:rPr>
        <w:t>.05.</w:t>
      </w:r>
      <w:r w:rsidRPr="00A117D5">
        <w:rPr>
          <w:rFonts w:cs="Times New Roman"/>
          <w:sz w:val="26"/>
          <w:szCs w:val="26"/>
        </w:rPr>
        <w:t>2026 на основании установленного норматива: среднесуточная температура наружного воздуха превышала плюс 8 градусов Цельсия в теч</w:t>
      </w:r>
      <w:r w:rsidR="00A03ACC" w:rsidRPr="00A117D5">
        <w:rPr>
          <w:rFonts w:cs="Times New Roman"/>
          <w:sz w:val="26"/>
          <w:szCs w:val="26"/>
        </w:rPr>
        <w:t>ен</w:t>
      </w:r>
      <w:r w:rsidR="00FA4557" w:rsidRPr="00A117D5">
        <w:rPr>
          <w:rFonts w:cs="Times New Roman"/>
          <w:sz w:val="26"/>
          <w:szCs w:val="26"/>
        </w:rPr>
        <w:t>ие пяти последовательных дней, в</w:t>
      </w:r>
      <w:r w:rsidR="00A03ACC" w:rsidRPr="00A117D5">
        <w:rPr>
          <w:rFonts w:cs="Times New Roman"/>
          <w:sz w:val="26"/>
          <w:szCs w:val="26"/>
        </w:rPr>
        <w:t xml:space="preserve"> соответствии с </w:t>
      </w:r>
      <w:r w:rsidRPr="00A117D5">
        <w:rPr>
          <w:rFonts w:cs="Times New Roman"/>
          <w:sz w:val="26"/>
          <w:szCs w:val="26"/>
        </w:rPr>
        <w:t>постановлением администрации города Югорска от 15</w:t>
      </w:r>
      <w:r w:rsidR="00FA4557" w:rsidRPr="00A117D5">
        <w:rPr>
          <w:rFonts w:cs="Times New Roman"/>
          <w:sz w:val="26"/>
          <w:szCs w:val="26"/>
        </w:rPr>
        <w:t>.05.</w:t>
      </w:r>
      <w:r w:rsidRPr="00A117D5">
        <w:rPr>
          <w:rFonts w:cs="Times New Roman"/>
          <w:sz w:val="26"/>
          <w:szCs w:val="26"/>
        </w:rPr>
        <w:t>2026 № 872-13-п «Об окончании отопительного периода 2025–2026 годов</w:t>
      </w:r>
      <w:r w:rsidR="003F541D" w:rsidRPr="00A117D5">
        <w:rPr>
          <w:rFonts w:cs="Times New Roman"/>
          <w:sz w:val="26"/>
          <w:szCs w:val="26"/>
        </w:rPr>
        <w:t>»</w:t>
      </w:r>
      <w:r w:rsidRPr="00A117D5">
        <w:rPr>
          <w:rFonts w:cs="Times New Roman"/>
          <w:sz w:val="26"/>
          <w:szCs w:val="26"/>
        </w:rPr>
        <w:t>.</w:t>
      </w:r>
    </w:p>
    <w:p w:rsidR="001A7053" w:rsidRPr="00A117D5" w:rsidRDefault="00CF51D7" w:rsidP="001A705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117D5">
        <w:rPr>
          <w:rFonts w:cs="Times New Roman"/>
          <w:sz w:val="26"/>
          <w:szCs w:val="26"/>
        </w:rPr>
        <w:t>Разработан п</w:t>
      </w:r>
      <w:r w:rsidR="001A7053" w:rsidRPr="00A117D5">
        <w:rPr>
          <w:rFonts w:cs="Times New Roman"/>
          <w:sz w:val="26"/>
          <w:szCs w:val="26"/>
        </w:rPr>
        <w:t>лан мероприятий по подготовке объектов жилищно-коммунального комплекса к работе в осенне-зимний период 2026–2027 годов и утверждён главой города Югорска 12</w:t>
      </w:r>
      <w:r w:rsidR="00F470A9" w:rsidRPr="00A117D5">
        <w:rPr>
          <w:rFonts w:cs="Times New Roman"/>
          <w:sz w:val="26"/>
          <w:szCs w:val="26"/>
        </w:rPr>
        <w:t>.05.2026</w:t>
      </w:r>
      <w:r w:rsidR="001A7053" w:rsidRPr="00A117D5">
        <w:rPr>
          <w:rFonts w:cs="Times New Roman"/>
          <w:sz w:val="26"/>
          <w:szCs w:val="26"/>
        </w:rPr>
        <w:t>. Планом предусмотрена подгот</w:t>
      </w:r>
      <w:r w:rsidR="00F470A9" w:rsidRPr="00A117D5">
        <w:rPr>
          <w:rFonts w:cs="Times New Roman"/>
          <w:sz w:val="26"/>
          <w:szCs w:val="26"/>
        </w:rPr>
        <w:t>овка 1271,59 километров</w:t>
      </w:r>
      <w:r w:rsidR="001A7053" w:rsidRPr="00A117D5">
        <w:rPr>
          <w:rFonts w:cs="Times New Roman"/>
          <w:sz w:val="26"/>
          <w:szCs w:val="26"/>
        </w:rPr>
        <w:t xml:space="preserve"> сетей коммунального комплекса, 875,354 километров сете</w:t>
      </w:r>
      <w:r w:rsidR="00F470A9" w:rsidRPr="00A117D5">
        <w:rPr>
          <w:rFonts w:cs="Times New Roman"/>
          <w:sz w:val="26"/>
          <w:szCs w:val="26"/>
        </w:rPr>
        <w:t>й газоснабжения, 8,734 километров</w:t>
      </w:r>
      <w:r w:rsidR="001A7053" w:rsidRPr="00A117D5">
        <w:rPr>
          <w:rFonts w:cs="Times New Roman"/>
          <w:sz w:val="26"/>
          <w:szCs w:val="26"/>
        </w:rPr>
        <w:t xml:space="preserve"> сетей электроснабжения, 246 объектов коммунального комплекса, 1099,7 тысячи квадратных метров жилищного фонда, а также 37 котельных установок, из которых на 17 единицах запланирован ремонт технологического оборудования. Подготовка к предстоящему осенне-зимнему периоду 2026–2027 годов ведётся в соответствии с утверждённым планом.</w:t>
      </w:r>
    </w:p>
    <w:p w:rsidR="001A7053" w:rsidRPr="00A117D5" w:rsidRDefault="001A7053" w:rsidP="001A705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117D5">
        <w:rPr>
          <w:rFonts w:cs="Times New Roman"/>
          <w:sz w:val="26"/>
          <w:szCs w:val="26"/>
        </w:rPr>
        <w:t>Приказом Департамента жилищно-коммунального и строительного комплекса администрации города Югорска от 12</w:t>
      </w:r>
      <w:r w:rsidR="00E2781A" w:rsidRPr="00A117D5">
        <w:rPr>
          <w:rFonts w:cs="Times New Roman"/>
          <w:sz w:val="26"/>
          <w:szCs w:val="26"/>
        </w:rPr>
        <w:t>.05.2026</w:t>
      </w:r>
      <w:r w:rsidRPr="00A117D5">
        <w:rPr>
          <w:rFonts w:cs="Times New Roman"/>
          <w:sz w:val="26"/>
          <w:szCs w:val="26"/>
        </w:rPr>
        <w:t xml:space="preserve"> № 69 утверждены ответственные лица за подготовку к отопительному периоду 2026–2027 годов.</w:t>
      </w:r>
    </w:p>
    <w:p w:rsidR="001A7053" w:rsidRPr="00A117D5" w:rsidRDefault="001A7053" w:rsidP="001A705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117D5">
        <w:rPr>
          <w:rFonts w:cs="Times New Roman"/>
          <w:sz w:val="26"/>
          <w:szCs w:val="26"/>
        </w:rPr>
        <w:lastRenderedPageBreak/>
        <w:t>Между Департаментом строительства и жилищно-коммунального комплекса Ханты-Мансийского автономного округа — Югры и администрацией города Югорска заключено соглашение о предоставлении субсидии местному бюд</w:t>
      </w:r>
      <w:r w:rsidR="00E2781A" w:rsidRPr="00A117D5">
        <w:rPr>
          <w:rFonts w:cs="Times New Roman"/>
          <w:sz w:val="26"/>
          <w:szCs w:val="26"/>
        </w:rPr>
        <w:t>жету № 16-ОЗП-2026 от 27.01.2026</w:t>
      </w:r>
      <w:r w:rsidRPr="00A117D5">
        <w:rPr>
          <w:rFonts w:cs="Times New Roman"/>
          <w:sz w:val="26"/>
          <w:szCs w:val="26"/>
        </w:rPr>
        <w:t xml:space="preserve"> на сумму 162 521 411,76 р</w:t>
      </w:r>
      <w:r w:rsidR="00E2781A" w:rsidRPr="00A117D5">
        <w:rPr>
          <w:rFonts w:cs="Times New Roman"/>
          <w:sz w:val="26"/>
          <w:szCs w:val="26"/>
        </w:rPr>
        <w:t>ублей в отношении двух объектов</w:t>
      </w:r>
      <w:r w:rsidRPr="00A117D5">
        <w:rPr>
          <w:rFonts w:cs="Times New Roman"/>
          <w:sz w:val="26"/>
          <w:szCs w:val="26"/>
        </w:rPr>
        <w:t xml:space="preserve">: </w:t>
      </w:r>
      <w:proofErr w:type="gramStart"/>
      <w:r w:rsidRPr="00A117D5">
        <w:rPr>
          <w:rFonts w:cs="Times New Roman"/>
          <w:sz w:val="26"/>
          <w:szCs w:val="26"/>
        </w:rPr>
        <w:t xml:space="preserve">«Капитальный ремонт (с заменой) участков сетей холодного водоснабжения по ул. </w:t>
      </w:r>
      <w:proofErr w:type="spellStart"/>
      <w:r w:rsidRPr="00A117D5">
        <w:rPr>
          <w:rFonts w:cs="Times New Roman"/>
          <w:sz w:val="26"/>
          <w:szCs w:val="26"/>
        </w:rPr>
        <w:t>Агиришская</w:t>
      </w:r>
      <w:proofErr w:type="spellEnd"/>
      <w:r w:rsidRPr="00A117D5">
        <w:rPr>
          <w:rFonts w:cs="Times New Roman"/>
          <w:sz w:val="26"/>
          <w:szCs w:val="26"/>
        </w:rPr>
        <w:t>, пер. Северный, ул. Труда, ул. Мичурина, ул. Советская, ул. Октябрьская, ул. Есенина, ул. Советская»</w:t>
      </w:r>
      <w:r w:rsidR="00E2781A" w:rsidRPr="00A117D5">
        <w:rPr>
          <w:rFonts w:cs="Times New Roman"/>
          <w:sz w:val="26"/>
          <w:szCs w:val="26"/>
        </w:rPr>
        <w:t>,</w:t>
      </w:r>
      <w:r w:rsidRPr="00A117D5">
        <w:rPr>
          <w:rFonts w:cs="Times New Roman"/>
          <w:sz w:val="26"/>
          <w:szCs w:val="26"/>
        </w:rPr>
        <w:t xml:space="preserve"> «Капитальный ремонт (с заменой) участка сетей </w:t>
      </w:r>
      <w:proofErr w:type="spellStart"/>
      <w:r w:rsidRPr="00A117D5">
        <w:rPr>
          <w:rFonts w:cs="Times New Roman"/>
          <w:sz w:val="26"/>
          <w:szCs w:val="26"/>
        </w:rPr>
        <w:t>тепловодоснабжения</w:t>
      </w:r>
      <w:proofErr w:type="spellEnd"/>
      <w:r w:rsidRPr="00A117D5">
        <w:rPr>
          <w:rFonts w:cs="Times New Roman"/>
          <w:sz w:val="26"/>
          <w:szCs w:val="26"/>
        </w:rPr>
        <w:t xml:space="preserve"> от ТК 2-9 по улице 40 лет Победы».</w:t>
      </w:r>
      <w:proofErr w:type="gramEnd"/>
    </w:p>
    <w:p w:rsidR="001A7053" w:rsidRPr="00A117D5" w:rsidRDefault="001A7053" w:rsidP="001A705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117D5">
        <w:rPr>
          <w:rFonts w:cs="Times New Roman"/>
          <w:sz w:val="26"/>
          <w:szCs w:val="26"/>
        </w:rPr>
        <w:t>В МУП «Югорскэнергогаз» создан неснижаемый запас материально-технических ресурсов в соответствии с прика</w:t>
      </w:r>
      <w:r w:rsidR="00E2781A" w:rsidRPr="00A117D5">
        <w:rPr>
          <w:rFonts w:cs="Times New Roman"/>
          <w:sz w:val="26"/>
          <w:szCs w:val="26"/>
        </w:rPr>
        <w:t>зом от 12.01.</w:t>
      </w:r>
      <w:r w:rsidRPr="00A117D5">
        <w:rPr>
          <w:rFonts w:cs="Times New Roman"/>
          <w:sz w:val="26"/>
          <w:szCs w:val="26"/>
        </w:rPr>
        <w:t xml:space="preserve">2026 № 3 «О создании и наличии финансового резерва для ликвидации чрезвычайных ситуаций». Для оперативного реагирования на предприятии сформировано 11 аварийно-восстановительных бригад штатной численностью 58 человек. В распоряжении бригад находится 8 единиц техники, в том числе одна единица снегоуборочной техники и один автономный источник тепла и электроэнергии. </w:t>
      </w:r>
    </w:p>
    <w:p w:rsidR="006402B4" w:rsidRPr="00A117D5" w:rsidRDefault="006402B4" w:rsidP="007C168F">
      <w:pPr>
        <w:pStyle w:val="Default"/>
        <w:tabs>
          <w:tab w:val="left" w:pos="1134"/>
        </w:tabs>
        <w:spacing w:line="276" w:lineRule="auto"/>
        <w:jc w:val="both"/>
        <w:rPr>
          <w:rFonts w:cs="Times New Roman"/>
          <w:color w:val="auto"/>
          <w:sz w:val="26"/>
          <w:szCs w:val="26"/>
        </w:rPr>
      </w:pPr>
    </w:p>
    <w:p w:rsidR="009B3BCF" w:rsidRPr="00A117D5" w:rsidRDefault="009B3BCF" w:rsidP="003423BD">
      <w:pPr>
        <w:widowControl w:val="0"/>
        <w:suppressAutoHyphens/>
        <w:spacing w:after="0"/>
        <w:ind w:firstLine="851"/>
        <w:jc w:val="both"/>
        <w:rPr>
          <w:rFonts w:cs="Open Sans"/>
          <w:shd w:val="clear" w:color="auto" w:fill="FFFFFF"/>
        </w:rPr>
      </w:pPr>
    </w:p>
    <w:sectPr w:rsidR="009B3BCF" w:rsidRPr="00A117D5" w:rsidSect="00A117D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8"/>
      </w:pPr>
    </w:lvl>
    <w:lvl w:ilvl="5">
      <w:start w:val="1"/>
      <w:numFmt w:val="none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>
    <w:nsid w:val="14A76FC0"/>
    <w:multiLevelType w:val="hybridMultilevel"/>
    <w:tmpl w:val="BBA65B08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835A22"/>
    <w:multiLevelType w:val="hybridMultilevel"/>
    <w:tmpl w:val="73AADE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011F8C"/>
    <w:multiLevelType w:val="hybridMultilevel"/>
    <w:tmpl w:val="F35CD43A"/>
    <w:lvl w:ilvl="0" w:tplc="27C4DCC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E7A5AE9"/>
    <w:multiLevelType w:val="hybridMultilevel"/>
    <w:tmpl w:val="2A8A7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F57EE"/>
    <w:multiLevelType w:val="hybridMultilevel"/>
    <w:tmpl w:val="F22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D7CFD"/>
    <w:multiLevelType w:val="hybridMultilevel"/>
    <w:tmpl w:val="B888C976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B5610B"/>
    <w:multiLevelType w:val="hybridMultilevel"/>
    <w:tmpl w:val="79A2BA30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567217"/>
    <w:multiLevelType w:val="hybridMultilevel"/>
    <w:tmpl w:val="93BE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F1954"/>
    <w:multiLevelType w:val="hybridMultilevel"/>
    <w:tmpl w:val="D46A7862"/>
    <w:lvl w:ilvl="0" w:tplc="E2BCE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E54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EF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0B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901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8C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88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042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45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470354"/>
    <w:multiLevelType w:val="hybridMultilevel"/>
    <w:tmpl w:val="3C4CA5F6"/>
    <w:lvl w:ilvl="0" w:tplc="40F8E12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08"/>
    <w:rsid w:val="0000339D"/>
    <w:rsid w:val="00021228"/>
    <w:rsid w:val="00034946"/>
    <w:rsid w:val="00044703"/>
    <w:rsid w:val="00044C22"/>
    <w:rsid w:val="00045FDE"/>
    <w:rsid w:val="0006246B"/>
    <w:rsid w:val="000756DA"/>
    <w:rsid w:val="000762F7"/>
    <w:rsid w:val="00092DA7"/>
    <w:rsid w:val="000B67E0"/>
    <w:rsid w:val="000C29BB"/>
    <w:rsid w:val="000C3A6C"/>
    <w:rsid w:val="000D04BA"/>
    <w:rsid w:val="000F69C4"/>
    <w:rsid w:val="001012BF"/>
    <w:rsid w:val="0012043F"/>
    <w:rsid w:val="00122BB3"/>
    <w:rsid w:val="00123A6F"/>
    <w:rsid w:val="00132CEA"/>
    <w:rsid w:val="001357CE"/>
    <w:rsid w:val="0015040E"/>
    <w:rsid w:val="001710AF"/>
    <w:rsid w:val="001740E4"/>
    <w:rsid w:val="0017497F"/>
    <w:rsid w:val="001A0724"/>
    <w:rsid w:val="001A7053"/>
    <w:rsid w:val="001A78E5"/>
    <w:rsid w:val="001B7D69"/>
    <w:rsid w:val="001C0A8E"/>
    <w:rsid w:val="001F0C91"/>
    <w:rsid w:val="001F1A6E"/>
    <w:rsid w:val="002002FB"/>
    <w:rsid w:val="00204A16"/>
    <w:rsid w:val="00223846"/>
    <w:rsid w:val="00252427"/>
    <w:rsid w:val="00254261"/>
    <w:rsid w:val="00261477"/>
    <w:rsid w:val="002752DE"/>
    <w:rsid w:val="00286EDD"/>
    <w:rsid w:val="002A7837"/>
    <w:rsid w:val="002D791D"/>
    <w:rsid w:val="002E0397"/>
    <w:rsid w:val="002E602D"/>
    <w:rsid w:val="00314106"/>
    <w:rsid w:val="003175D9"/>
    <w:rsid w:val="00327B94"/>
    <w:rsid w:val="00333A23"/>
    <w:rsid w:val="003423BD"/>
    <w:rsid w:val="0034463A"/>
    <w:rsid w:val="00350D1B"/>
    <w:rsid w:val="00352D77"/>
    <w:rsid w:val="0035389F"/>
    <w:rsid w:val="003A05FC"/>
    <w:rsid w:val="003B2B4C"/>
    <w:rsid w:val="003B792F"/>
    <w:rsid w:val="003D0C80"/>
    <w:rsid w:val="003E738F"/>
    <w:rsid w:val="003F1F31"/>
    <w:rsid w:val="003F541D"/>
    <w:rsid w:val="00400011"/>
    <w:rsid w:val="004115B3"/>
    <w:rsid w:val="0041621B"/>
    <w:rsid w:val="00421448"/>
    <w:rsid w:val="00421AEF"/>
    <w:rsid w:val="00435AA4"/>
    <w:rsid w:val="00450521"/>
    <w:rsid w:val="0046695C"/>
    <w:rsid w:val="004742FB"/>
    <w:rsid w:val="004B0BEC"/>
    <w:rsid w:val="004B2331"/>
    <w:rsid w:val="004B2578"/>
    <w:rsid w:val="004C2942"/>
    <w:rsid w:val="004C5B05"/>
    <w:rsid w:val="004D7301"/>
    <w:rsid w:val="004E545C"/>
    <w:rsid w:val="004F37ED"/>
    <w:rsid w:val="00511BE4"/>
    <w:rsid w:val="00514278"/>
    <w:rsid w:val="00525FD4"/>
    <w:rsid w:val="00526533"/>
    <w:rsid w:val="00530312"/>
    <w:rsid w:val="005614BA"/>
    <w:rsid w:val="00565DB0"/>
    <w:rsid w:val="00587E08"/>
    <w:rsid w:val="005941F4"/>
    <w:rsid w:val="005B4E20"/>
    <w:rsid w:val="005D3A63"/>
    <w:rsid w:val="005F3EDE"/>
    <w:rsid w:val="006030E3"/>
    <w:rsid w:val="00603F95"/>
    <w:rsid w:val="00607B6E"/>
    <w:rsid w:val="00612A6B"/>
    <w:rsid w:val="0062030D"/>
    <w:rsid w:val="00633B82"/>
    <w:rsid w:val="00633C77"/>
    <w:rsid w:val="006402B4"/>
    <w:rsid w:val="00654FA3"/>
    <w:rsid w:val="00655232"/>
    <w:rsid w:val="00661727"/>
    <w:rsid w:val="00684237"/>
    <w:rsid w:val="006A24F7"/>
    <w:rsid w:val="006B0D9B"/>
    <w:rsid w:val="006E185C"/>
    <w:rsid w:val="006E3EA1"/>
    <w:rsid w:val="006F19A7"/>
    <w:rsid w:val="006F23C2"/>
    <w:rsid w:val="006F7DA8"/>
    <w:rsid w:val="00701A31"/>
    <w:rsid w:val="00705014"/>
    <w:rsid w:val="007200ED"/>
    <w:rsid w:val="007271BA"/>
    <w:rsid w:val="00727783"/>
    <w:rsid w:val="00736CE6"/>
    <w:rsid w:val="007722F0"/>
    <w:rsid w:val="007738BA"/>
    <w:rsid w:val="007A5BEB"/>
    <w:rsid w:val="007B2C8D"/>
    <w:rsid w:val="007C168F"/>
    <w:rsid w:val="007C1ABD"/>
    <w:rsid w:val="007D5852"/>
    <w:rsid w:val="007D6C94"/>
    <w:rsid w:val="007F4681"/>
    <w:rsid w:val="007F7188"/>
    <w:rsid w:val="00812EA5"/>
    <w:rsid w:val="00816704"/>
    <w:rsid w:val="008313C2"/>
    <w:rsid w:val="00835BE1"/>
    <w:rsid w:val="00837DB7"/>
    <w:rsid w:val="008470B6"/>
    <w:rsid w:val="00855274"/>
    <w:rsid w:val="00865B1D"/>
    <w:rsid w:val="00866E3E"/>
    <w:rsid w:val="00880365"/>
    <w:rsid w:val="00894EB4"/>
    <w:rsid w:val="008C0620"/>
    <w:rsid w:val="008E791C"/>
    <w:rsid w:val="00904F92"/>
    <w:rsid w:val="00932BB0"/>
    <w:rsid w:val="00941093"/>
    <w:rsid w:val="00941AD8"/>
    <w:rsid w:val="009452AE"/>
    <w:rsid w:val="009543F4"/>
    <w:rsid w:val="00982956"/>
    <w:rsid w:val="00984049"/>
    <w:rsid w:val="009912BF"/>
    <w:rsid w:val="009B3BCF"/>
    <w:rsid w:val="009B67F1"/>
    <w:rsid w:val="009D22CF"/>
    <w:rsid w:val="009E2D6B"/>
    <w:rsid w:val="00A03933"/>
    <w:rsid w:val="00A03ACC"/>
    <w:rsid w:val="00A03B5D"/>
    <w:rsid w:val="00A05B52"/>
    <w:rsid w:val="00A117D5"/>
    <w:rsid w:val="00A17CB0"/>
    <w:rsid w:val="00A217D9"/>
    <w:rsid w:val="00A23C53"/>
    <w:rsid w:val="00A253C3"/>
    <w:rsid w:val="00A35E74"/>
    <w:rsid w:val="00A61DA7"/>
    <w:rsid w:val="00A62CC9"/>
    <w:rsid w:val="00A72808"/>
    <w:rsid w:val="00A765B7"/>
    <w:rsid w:val="00A81E07"/>
    <w:rsid w:val="00A90204"/>
    <w:rsid w:val="00A9468B"/>
    <w:rsid w:val="00A9472F"/>
    <w:rsid w:val="00AA46F2"/>
    <w:rsid w:val="00AA7698"/>
    <w:rsid w:val="00AB79F4"/>
    <w:rsid w:val="00AC451C"/>
    <w:rsid w:val="00AC5C04"/>
    <w:rsid w:val="00AD05EE"/>
    <w:rsid w:val="00AE28B3"/>
    <w:rsid w:val="00AF0DA9"/>
    <w:rsid w:val="00AF2418"/>
    <w:rsid w:val="00B20774"/>
    <w:rsid w:val="00B33A17"/>
    <w:rsid w:val="00B33C33"/>
    <w:rsid w:val="00B47E0D"/>
    <w:rsid w:val="00B67C3D"/>
    <w:rsid w:val="00B80C5E"/>
    <w:rsid w:val="00B9210B"/>
    <w:rsid w:val="00BA2920"/>
    <w:rsid w:val="00BA4BF7"/>
    <w:rsid w:val="00BB15FF"/>
    <w:rsid w:val="00BB741A"/>
    <w:rsid w:val="00BE4E0E"/>
    <w:rsid w:val="00BF041D"/>
    <w:rsid w:val="00BF46B1"/>
    <w:rsid w:val="00C55BEF"/>
    <w:rsid w:val="00C5617E"/>
    <w:rsid w:val="00C61AA8"/>
    <w:rsid w:val="00C62F2A"/>
    <w:rsid w:val="00C64CC0"/>
    <w:rsid w:val="00C70523"/>
    <w:rsid w:val="00C81B2F"/>
    <w:rsid w:val="00C84196"/>
    <w:rsid w:val="00C86BDA"/>
    <w:rsid w:val="00C966D5"/>
    <w:rsid w:val="00CA6392"/>
    <w:rsid w:val="00CA6AE6"/>
    <w:rsid w:val="00CC302B"/>
    <w:rsid w:val="00CF50B0"/>
    <w:rsid w:val="00CF51D7"/>
    <w:rsid w:val="00D2404F"/>
    <w:rsid w:val="00D24EE8"/>
    <w:rsid w:val="00D30249"/>
    <w:rsid w:val="00D37C69"/>
    <w:rsid w:val="00D44E9C"/>
    <w:rsid w:val="00D6181A"/>
    <w:rsid w:val="00D80A9E"/>
    <w:rsid w:val="00D828F4"/>
    <w:rsid w:val="00D94E95"/>
    <w:rsid w:val="00DB2A65"/>
    <w:rsid w:val="00DB31D2"/>
    <w:rsid w:val="00DB5CF4"/>
    <w:rsid w:val="00DC0A49"/>
    <w:rsid w:val="00DD05D8"/>
    <w:rsid w:val="00DE07AD"/>
    <w:rsid w:val="00DE0D32"/>
    <w:rsid w:val="00DE205A"/>
    <w:rsid w:val="00DE32A1"/>
    <w:rsid w:val="00DF02BE"/>
    <w:rsid w:val="00DF584B"/>
    <w:rsid w:val="00E07247"/>
    <w:rsid w:val="00E1432B"/>
    <w:rsid w:val="00E17496"/>
    <w:rsid w:val="00E26A76"/>
    <w:rsid w:val="00E2781A"/>
    <w:rsid w:val="00E426C8"/>
    <w:rsid w:val="00E42A8C"/>
    <w:rsid w:val="00E53066"/>
    <w:rsid w:val="00E652BB"/>
    <w:rsid w:val="00E65B12"/>
    <w:rsid w:val="00E7312D"/>
    <w:rsid w:val="00E8249F"/>
    <w:rsid w:val="00E850B9"/>
    <w:rsid w:val="00E867D7"/>
    <w:rsid w:val="00E912D7"/>
    <w:rsid w:val="00E91C49"/>
    <w:rsid w:val="00E96BC3"/>
    <w:rsid w:val="00EA2AEB"/>
    <w:rsid w:val="00EB31E0"/>
    <w:rsid w:val="00EC4C1D"/>
    <w:rsid w:val="00ED004B"/>
    <w:rsid w:val="00EE0EB3"/>
    <w:rsid w:val="00EF10AE"/>
    <w:rsid w:val="00EF406C"/>
    <w:rsid w:val="00F05E99"/>
    <w:rsid w:val="00F10E2A"/>
    <w:rsid w:val="00F11369"/>
    <w:rsid w:val="00F133DF"/>
    <w:rsid w:val="00F1705B"/>
    <w:rsid w:val="00F217B0"/>
    <w:rsid w:val="00F245E4"/>
    <w:rsid w:val="00F2754F"/>
    <w:rsid w:val="00F31D6B"/>
    <w:rsid w:val="00F3590C"/>
    <w:rsid w:val="00F36034"/>
    <w:rsid w:val="00F44E90"/>
    <w:rsid w:val="00F470A9"/>
    <w:rsid w:val="00F56C3F"/>
    <w:rsid w:val="00F706DF"/>
    <w:rsid w:val="00FA4557"/>
    <w:rsid w:val="00FC4BC5"/>
    <w:rsid w:val="00FD4976"/>
    <w:rsid w:val="00FE176F"/>
    <w:rsid w:val="00FE6BE0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AA4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84237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867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34"/>
    <w:rsid w:val="00E86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3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23BD"/>
    <w:pPr>
      <w:autoSpaceDE w:val="0"/>
      <w:autoSpaceDN w:val="0"/>
      <w:adjustRightInd w:val="0"/>
      <w:spacing w:after="0" w:line="240" w:lineRule="auto"/>
    </w:pPr>
    <w:rPr>
      <w:rFonts w:eastAsia="Times New Roman" w:cs="PT Astra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AA4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84237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867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34"/>
    <w:rsid w:val="00E86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3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23BD"/>
    <w:pPr>
      <w:autoSpaceDE w:val="0"/>
      <w:autoSpaceDN w:val="0"/>
      <w:adjustRightInd w:val="0"/>
      <w:spacing w:after="0" w:line="240" w:lineRule="auto"/>
    </w:pPr>
    <w:rPr>
      <w:rFonts w:eastAsia="Times New Roman" w:cs="PT Astra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5CB1-2CB4-46E8-8B5E-09BBBB98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Хорошавина Татьяна Александровна</dc:creator>
  <cp:lastModifiedBy>Салейко Анастасия Станиславовна</cp:lastModifiedBy>
  <cp:revision>28</cp:revision>
  <cp:lastPrinted>2026-06-05T11:29:00Z</cp:lastPrinted>
  <dcterms:created xsi:type="dcterms:W3CDTF">2025-10-24T05:00:00Z</dcterms:created>
  <dcterms:modified xsi:type="dcterms:W3CDTF">2026-06-29T09:37:00Z</dcterms:modified>
</cp:coreProperties>
</file>